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A" w:rsidRDefault="00F120F7">
      <w:pPr>
        <w:spacing w:line="700" w:lineRule="exact"/>
        <w:jc w:val="center"/>
        <w:rPr>
          <w:rFonts w:ascii="Times New Roman" w:eastAsia="方正小标宋_GBK" w:hAnsi="Times New Roman"/>
          <w:spacing w:val="-11"/>
          <w:sz w:val="44"/>
          <w:szCs w:val="44"/>
        </w:rPr>
      </w:pPr>
      <w:r>
        <w:rPr>
          <w:rFonts w:ascii="Times New Roman" w:eastAsia="方正小标宋_GBK" w:hAnsi="Times New Roman"/>
          <w:spacing w:val="-11"/>
          <w:sz w:val="44"/>
          <w:szCs w:val="44"/>
        </w:rPr>
        <w:t>信阳市重点上市</w:t>
      </w:r>
      <w:r>
        <w:rPr>
          <w:rFonts w:ascii="Times New Roman" w:eastAsia="方正小标宋_GBK" w:hAnsi="Times New Roman" w:hint="eastAsia"/>
          <w:spacing w:val="-11"/>
          <w:sz w:val="44"/>
          <w:szCs w:val="44"/>
        </w:rPr>
        <w:t>、</w:t>
      </w:r>
      <w:r>
        <w:rPr>
          <w:rFonts w:ascii="Times New Roman" w:eastAsia="方正小标宋_GBK" w:hAnsi="Times New Roman"/>
          <w:spacing w:val="-11"/>
          <w:sz w:val="44"/>
          <w:szCs w:val="44"/>
        </w:rPr>
        <w:t>挂牌后备企业资源库管理办法</w:t>
      </w:r>
    </w:p>
    <w:p w:rsidR="00AB1A4A" w:rsidRDefault="00F120F7" w:rsidP="0023727C">
      <w:pPr>
        <w:pStyle w:val="BodyTextFirstIndent21"/>
        <w:spacing w:after="0" w:line="580" w:lineRule="exact"/>
        <w:ind w:leftChars="0" w:left="0" w:firstLine="0"/>
        <w:jc w:val="center"/>
        <w:rPr>
          <w:rFonts w:ascii="Times New Roman" w:hAnsi="Times New Roman"/>
        </w:rPr>
      </w:pPr>
      <w:r>
        <w:rPr>
          <w:rFonts w:ascii="方正楷体_GBK" w:eastAsia="方正楷体_GBK" w:hAnsi="方正楷体_GBK" w:cs="方正楷体_GBK" w:hint="eastAsia"/>
          <w:b/>
          <w:bCs/>
          <w:spacing w:val="-11"/>
          <w:sz w:val="32"/>
          <w:szCs w:val="32"/>
        </w:rPr>
        <w:t>（征求意见稿）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第一章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总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则</w:t>
      </w:r>
    </w:p>
    <w:p w:rsidR="0023727C" w:rsidRDefault="00F120F7" w:rsidP="0023727C">
      <w:pPr>
        <w:spacing w:line="580" w:lineRule="exact"/>
        <w:ind w:firstLineChars="200" w:firstLine="643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第一条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为深入贯彻落实我市第六次党代会精神，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抢抓多层次资本市场改革机遇期，</w:t>
      </w:r>
      <w:r>
        <w:rPr>
          <w:rFonts w:ascii="Times New Roman" w:eastAsia="方正仿宋_GBK" w:hAnsi="Times New Roman"/>
          <w:sz w:val="32"/>
          <w:szCs w:val="32"/>
        </w:rPr>
        <w:t>积极开展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企业上市孵化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工程，加速启动企业上市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破零倍增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计划，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严把入库审核关，</w:t>
      </w:r>
      <w:r>
        <w:rPr>
          <w:rFonts w:ascii="Times New Roman" w:eastAsia="方正仿宋_GBK" w:hAnsi="Times New Roman"/>
          <w:sz w:val="32"/>
          <w:szCs w:val="32"/>
        </w:rPr>
        <w:t>着力推进一批优质企业登陆资本市场。</w:t>
      </w:r>
      <w:r>
        <w:rPr>
          <w:rFonts w:ascii="Times New Roman" w:eastAsia="方正仿宋_GBK" w:hAnsi="Times New Roman" w:hint="eastAsia"/>
          <w:sz w:val="32"/>
          <w:szCs w:val="32"/>
        </w:rPr>
        <w:t>根据《信阳市人民政府关于加快推动信阳资本市场高质量发展的实施意见》（</w:t>
      </w:r>
      <w:r>
        <w:rPr>
          <w:rFonts w:ascii="Times New Roman" w:eastAsia="方正仿宋_GBK" w:hAnsi="Times New Roman"/>
          <w:sz w:val="32"/>
          <w:szCs w:val="32"/>
        </w:rPr>
        <w:t>信政〔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制定本管理办法。</w:t>
      </w:r>
    </w:p>
    <w:p w:rsidR="00AB1A4A" w:rsidRPr="0023727C" w:rsidRDefault="00F120F7" w:rsidP="0023727C">
      <w:pPr>
        <w:spacing w:line="580" w:lineRule="exact"/>
        <w:ind w:firstLineChars="200" w:firstLine="643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第二条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坚持政府引导与企业自愿相结合，市场运作与政策扶持相结合原则，以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上市一批、申报一批、辅导一批、挂牌一批、股改一批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为基本思路，培育我市符合国家产业政策、主营业务突出、竞争能力较强、盈利能力较好、具有发展潜力的企业，分层级分梯次进入后备企业资源库。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第二章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入库标准</w:t>
      </w:r>
    </w:p>
    <w:p w:rsidR="00AB1A4A" w:rsidRDefault="00F120F7" w:rsidP="0023727C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  <w:shd w:val="clear" w:color="auto" w:fill="FFFFFF"/>
        </w:rPr>
        <w:t>第三条</w:t>
      </w:r>
      <w:r>
        <w:rPr>
          <w:rFonts w:ascii="Times New Roman" w:eastAsia="方正仿宋_GBK" w:hAnsi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shd w:val="clear" w:color="auto" w:fill="FFFFFF"/>
        </w:rPr>
        <w:t>企业入库条件</w:t>
      </w:r>
    </w:p>
    <w:p w:rsidR="00AB1A4A" w:rsidRDefault="00F120F7">
      <w:pPr>
        <w:numPr>
          <w:ilvl w:val="0"/>
          <w:numId w:val="1"/>
        </w:numPr>
        <w:spacing w:line="580" w:lineRule="exact"/>
        <w:ind w:firstLine="642"/>
        <w:rPr>
          <w:rFonts w:ascii="Times New Roman" w:eastAsia="方正楷体_GBK" w:hAnsi="Times New Roman"/>
          <w:b/>
          <w:bCs/>
          <w:sz w:val="32"/>
          <w:szCs w:val="32"/>
        </w:rPr>
      </w:pPr>
      <w:r>
        <w:rPr>
          <w:rFonts w:ascii="Times New Roman" w:eastAsia="方正楷体_GBK" w:hAnsi="Times New Roman"/>
          <w:b/>
          <w:bCs/>
          <w:sz w:val="32"/>
          <w:szCs w:val="32"/>
        </w:rPr>
        <w:t>重点上市后备企业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．企业注册地在信阳市辖区，有明确的上市意愿和要求，拟通过资本市场做大做强。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．企业依法设立且存续满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年、股本在</w:t>
      </w:r>
      <w:r>
        <w:rPr>
          <w:rFonts w:ascii="Times New Roman" w:eastAsia="方正仿宋_GBK" w:hAnsi="Times New Roman"/>
          <w:sz w:val="32"/>
          <w:szCs w:val="32"/>
        </w:rPr>
        <w:t>1000</w:t>
      </w:r>
      <w:r>
        <w:rPr>
          <w:rFonts w:ascii="Times New Roman" w:eastAsia="方正仿宋_GBK" w:hAnsi="Times New Roman"/>
          <w:sz w:val="32"/>
          <w:szCs w:val="32"/>
        </w:rPr>
        <w:t>万元以上的股份有限公司，或者计划在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年内完成股份制改造、企业规模达到</w:t>
      </w:r>
      <w:r>
        <w:rPr>
          <w:rFonts w:ascii="Times New Roman" w:eastAsia="方正仿宋_GBK" w:hAnsi="Times New Roman"/>
          <w:sz w:val="32"/>
          <w:szCs w:val="32"/>
        </w:rPr>
        <w:lastRenderedPageBreak/>
        <w:t>相应标准的有限责任公司。有限责任公司按原账面净资产值折股整体变更为股份有限公司的，存续时间可以从有限责任公司成立之日起计算。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企业运作规范，内部治理结构完整，财务会计报告无虚假记录；企业及其高管人员能较好地遵守市场监管、税务、环保等法律法规，近两年无重大违法违规行为和不良信用记录；不存在企业或法定代表人失信的情形。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．企业生产经营合法合规，主营业务突出，且符合国家产业政策和环境保护政策，属于国家重点支持的产业，具有较强竞争力和高成长性，发展前景较好；主营业务不属于国家《产业结构调整指导目录（</w:t>
      </w: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年本）》中列明的限制类和淘汰类的产业类型。</w:t>
      </w:r>
    </w:p>
    <w:p w:rsidR="0023727C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．财务指标满足下列条件之一：</w:t>
      </w:r>
    </w:p>
    <w:p w:rsidR="0023727C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）最近两年营业收入年均不低于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万元；</w:t>
      </w:r>
    </w:p>
    <w:p w:rsidR="0023727C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）最近一年营业收入不低于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000</w:t>
      </w:r>
      <w:r>
        <w:rPr>
          <w:rFonts w:ascii="Times New Roman" w:eastAsia="方正仿宋_GBK" w:hAnsi="Times New Roman"/>
          <w:sz w:val="32"/>
          <w:szCs w:val="32"/>
        </w:rPr>
        <w:t>万元；</w:t>
      </w:r>
    </w:p>
    <w:p w:rsidR="0023727C" w:rsidRDefault="00F120F7" w:rsidP="0023727C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）最近两年连续盈利，且累计净利润不低于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00</w:t>
      </w:r>
      <w:r>
        <w:rPr>
          <w:rFonts w:ascii="Times New Roman" w:eastAsia="方正仿宋_GBK" w:hAnsi="Times New Roman"/>
          <w:sz w:val="32"/>
          <w:szCs w:val="32"/>
        </w:rPr>
        <w:t>万元；</w:t>
      </w:r>
    </w:p>
    <w:p w:rsidR="00AB1A4A" w:rsidRPr="0023727C" w:rsidRDefault="00F120F7" w:rsidP="0023727C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b/>
          <w:bCs/>
          <w:sz w:val="32"/>
          <w:szCs w:val="32"/>
        </w:rPr>
        <w:t>（二）新三板后备企业入库条件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．企业注册地在信阳市辖区，有明确的新三板挂牌意愿和要求，拟通过资本市场做大做强。</w:t>
      </w:r>
    </w:p>
    <w:p w:rsidR="00AB1A4A" w:rsidRDefault="00F120F7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．依法设立且存续满两年；</w:t>
      </w:r>
    </w:p>
    <w:p w:rsidR="00AB1A4A" w:rsidRDefault="00F120F7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．公司治理机制健全，运作规范；</w:t>
      </w:r>
    </w:p>
    <w:p w:rsidR="00AB1A4A" w:rsidRDefault="00F120F7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．股权明晰，主营业务明确，具有持续盈利能力，非科技</w:t>
      </w:r>
      <w:r>
        <w:rPr>
          <w:rFonts w:ascii="Times New Roman" w:eastAsia="方正仿宋_GBK" w:hAnsi="Times New Roman"/>
          <w:sz w:val="32"/>
          <w:szCs w:val="32"/>
        </w:rPr>
        <w:lastRenderedPageBreak/>
        <w:t>型传统企业不能连续两年亏损；</w:t>
      </w:r>
    </w:p>
    <w:p w:rsidR="00AB1A4A" w:rsidRDefault="00F120F7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．近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两年一期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营业收入之和不低于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1000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万元或净资产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3000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万元以上。</w:t>
      </w:r>
    </w:p>
    <w:p w:rsidR="00AB1A4A" w:rsidRDefault="00F120F7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对于产业龙头企业、高新技术企业、绿色企业及符合条件的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专精特新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企业等相关企业优先入库。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第三章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入库程序</w:t>
      </w:r>
    </w:p>
    <w:p w:rsidR="00AB1A4A" w:rsidRDefault="00F120F7" w:rsidP="0023727C">
      <w:pPr>
        <w:spacing w:line="580" w:lineRule="exact"/>
        <w:ind w:firstLineChars="200" w:firstLine="643"/>
        <w:rPr>
          <w:rFonts w:ascii="Times New Roman" w:hAnsi="Times New Roman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第四条</w:t>
      </w:r>
      <w:r w:rsidR="0023727C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bCs/>
          <w:sz w:val="32"/>
          <w:szCs w:val="32"/>
        </w:rPr>
        <w:t>申报材料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申报入库企业应提供相关证明材料（复印件或电子扫描版）。材料包括但不限于以下内容：</w:t>
      </w:r>
    </w:p>
    <w:p w:rsidR="00AB1A4A" w:rsidRDefault="00F120F7">
      <w:pPr>
        <w:widowControl/>
        <w:spacing w:line="580" w:lineRule="exact"/>
        <w:ind w:firstLineChars="200" w:firstLine="672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上市挂牌后备企业资源库入库申请表；</w:t>
      </w:r>
    </w:p>
    <w:p w:rsidR="00AB1A4A" w:rsidRDefault="00F120F7">
      <w:pPr>
        <w:widowControl/>
        <w:spacing w:line="580" w:lineRule="exact"/>
        <w:ind w:firstLineChars="200" w:firstLine="672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企业简况（包括发展历程、股权结构及历次变更情况、企业投融资、银行贷款情况、关联企业情况等）；</w:t>
      </w:r>
    </w:p>
    <w:p w:rsidR="00AB1A4A" w:rsidRDefault="00F120F7">
      <w:pPr>
        <w:widowControl/>
        <w:spacing w:line="580" w:lineRule="exact"/>
        <w:ind w:firstLineChars="200" w:firstLine="672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法人营业执照复印件，税务登记复印件及公司章程；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申报前一个月的企业信用报告；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企业近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年财务年度报表，近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年生产、技术研发、营销模式及销售情况；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仿宋_GBK" w:hAnsi="Times New Roman"/>
          <w:sz w:val="32"/>
          <w:szCs w:val="32"/>
        </w:rPr>
        <w:t>企业的竞争优势、行业地位及发展前景；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</w:t>
      </w:r>
      <w:r>
        <w:rPr>
          <w:rFonts w:ascii="Times New Roman" w:eastAsia="方正仿宋_GBK" w:hAnsi="Times New Roman"/>
          <w:sz w:val="32"/>
          <w:szCs w:val="32"/>
        </w:rPr>
        <w:t>科技型企业入库需要提供科技型企业认定材料；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</w:t>
      </w:r>
      <w:r>
        <w:rPr>
          <w:rFonts w:ascii="Times New Roman" w:eastAsia="方正仿宋_GBK" w:hAnsi="Times New Roman"/>
          <w:sz w:val="32"/>
          <w:szCs w:val="32"/>
        </w:rPr>
        <w:t>其他相关材料。</w:t>
      </w:r>
    </w:p>
    <w:p w:rsidR="00AB1A4A" w:rsidRDefault="00F120F7" w:rsidP="0023727C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第五条</w:t>
      </w:r>
      <w:r w:rsidR="0023727C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bCs/>
          <w:sz w:val="32"/>
          <w:szCs w:val="32"/>
        </w:rPr>
        <w:t>申报与审核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各县（区）、管理区（开发区）</w:t>
      </w:r>
      <w:r>
        <w:rPr>
          <w:rFonts w:ascii="Times New Roman" w:eastAsia="方正仿宋_GBK" w:hAnsi="Times New Roman" w:hint="eastAsia"/>
          <w:sz w:val="32"/>
          <w:szCs w:val="32"/>
        </w:rPr>
        <w:t>及行业主管部门</w:t>
      </w:r>
      <w:r>
        <w:rPr>
          <w:rFonts w:ascii="Times New Roman" w:eastAsia="方正仿宋_GBK" w:hAnsi="Times New Roman"/>
          <w:sz w:val="32"/>
          <w:szCs w:val="32"/>
        </w:rPr>
        <w:t>按照自愿原</w:t>
      </w:r>
      <w:r>
        <w:rPr>
          <w:rFonts w:ascii="Times New Roman" w:eastAsia="方正仿宋_GBK" w:hAnsi="Times New Roman"/>
          <w:sz w:val="32"/>
          <w:szCs w:val="32"/>
        </w:rPr>
        <w:lastRenderedPageBreak/>
        <w:t>则积极组织符合条件的企业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申报</w:t>
      </w:r>
      <w:r>
        <w:rPr>
          <w:rFonts w:ascii="Times New Roman" w:eastAsia="方正仿宋_GBK" w:hAnsi="Times New Roman"/>
          <w:sz w:val="32"/>
          <w:szCs w:val="32"/>
        </w:rPr>
        <w:t>，并按照申报条件对企业进行初审，初审合格后，</w:t>
      </w:r>
      <w:r>
        <w:rPr>
          <w:rFonts w:ascii="Times New Roman" w:eastAsia="方正仿宋_GBK" w:hAnsi="Times New Roman" w:hint="eastAsia"/>
          <w:sz w:val="32"/>
          <w:szCs w:val="32"/>
        </w:rPr>
        <w:t>将</w:t>
      </w:r>
      <w:r>
        <w:rPr>
          <w:rFonts w:ascii="Times New Roman" w:eastAsia="方正仿宋_GBK" w:hAnsi="Times New Roman"/>
          <w:sz w:val="32"/>
          <w:szCs w:val="32"/>
        </w:rPr>
        <w:t>申请表汇总后报送市</w:t>
      </w:r>
      <w:r>
        <w:rPr>
          <w:rFonts w:ascii="Times New Roman" w:eastAsia="方正仿宋_GBK" w:hAnsi="Times New Roman"/>
          <w:kern w:val="0"/>
          <w:sz w:val="32"/>
          <w:szCs w:val="32"/>
        </w:rPr>
        <w:t>金融工作局</w:t>
      </w:r>
      <w:r>
        <w:rPr>
          <w:rFonts w:ascii="Times New Roman" w:eastAsia="方正仿宋_GBK" w:hAnsi="Times New Roman"/>
          <w:sz w:val="32"/>
          <w:szCs w:val="32"/>
        </w:rPr>
        <w:t>，相关证明材料（复印件或电子扫描版）作为附件一并报送。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每年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月定为集中申报月，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8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月为补充申报月。</w:t>
      </w:r>
    </w:p>
    <w:p w:rsidR="00AB1A4A" w:rsidRDefault="00F120F7">
      <w:pPr>
        <w:widowControl/>
        <w:spacing w:line="580" w:lineRule="exact"/>
        <w:ind w:firstLineChars="200" w:firstLine="672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市金融工作局组织市直有关部门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银行、证券、会计师事务所、律师事务所等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机构专家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团队对申报企业进行评审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经评审合格的企业纳入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全市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重点上市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挂牌后备企业资源库。</w:t>
      </w:r>
    </w:p>
    <w:p w:rsidR="00AB1A4A" w:rsidRDefault="00F120F7">
      <w:pPr>
        <w:widowControl/>
        <w:spacing w:line="580" w:lineRule="exact"/>
        <w:ind w:firstLineChars="200" w:firstLine="674"/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>第六条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>入库公示</w:t>
      </w:r>
    </w:p>
    <w:p w:rsidR="00AB1A4A" w:rsidRDefault="00F120F7">
      <w:pPr>
        <w:widowControl/>
        <w:spacing w:line="580" w:lineRule="exact"/>
        <w:ind w:firstLineChars="200" w:firstLine="672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经评审组审核通过的入库企业名单，于每年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4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在信阳市金融工作局门户网站、金融信阳公众号等媒体渠道向社会公布；资源库若有重大调整视情况不定期公布。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第四章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资源库管理</w:t>
      </w:r>
    </w:p>
    <w:p w:rsidR="00AB1A4A" w:rsidRDefault="00F120F7">
      <w:pPr>
        <w:widowControl/>
        <w:spacing w:line="580" w:lineRule="exact"/>
        <w:ind w:firstLineChars="200" w:firstLine="674"/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>第七条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>入库管理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入库企业应自觉接受监督管理，依法、真实、准确、完整、及时填报和更新企业信息，并对所提供信息和资料的真实性、合法性负责。</w:t>
      </w:r>
    </w:p>
    <w:p w:rsidR="00AB1A4A" w:rsidRDefault="00F120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入库企业应当按年度报送上一年度财务报告或主要财务指标，及时报送上市进展情况、重大事项变更以及其他可能影响企业上市挂牌事项信息。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入库企业应主动加快推进上市挂牌进程，原则上每年都应在股改、规范、辅导备案等环节取得实质性进展。</w:t>
      </w:r>
    </w:p>
    <w:p w:rsidR="00AB1A4A" w:rsidRDefault="00F120F7">
      <w:pPr>
        <w:widowControl/>
        <w:spacing w:line="580" w:lineRule="exact"/>
        <w:ind w:firstLineChars="200" w:firstLine="674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lastRenderedPageBreak/>
        <w:t>第八条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/>
          <w:b/>
          <w:bCs/>
          <w:spacing w:val="8"/>
          <w:sz w:val="32"/>
          <w:szCs w:val="32"/>
          <w:shd w:val="clear" w:color="auto" w:fill="FFFFFF"/>
        </w:rPr>
        <w:t>退出管理</w:t>
      </w:r>
    </w:p>
    <w:p w:rsidR="0023727C" w:rsidRDefault="00F120F7" w:rsidP="0023727C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市金融工作局对入库企业实施动态管理，定期、不定期对入库企业进行筛查，对不满足申请条件或管理要求有如下情形之一的，市金融工作局及时做出调整：</w:t>
      </w:r>
    </w:p>
    <w:p w:rsidR="00AB1A4A" w:rsidRPr="0023727C" w:rsidRDefault="00F120F7" w:rsidP="0023727C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公司已成功实现上市或挂牌；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工商注册地迁出信阳市或已停止经营活动；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出现重大违法违规、失信行为的；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不配合市金融工作局收集掌握企业相关情况的；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企业主动申请退出的</w:t>
      </w:r>
      <w:r>
        <w:rPr>
          <w:rFonts w:ascii="Times New Roman" w:eastAsia="方正仿宋_GBK" w:hAnsi="Times New Roman"/>
          <w:sz w:val="32"/>
          <w:szCs w:val="32"/>
        </w:rPr>
        <w:t>;</w:t>
      </w:r>
    </w:p>
    <w:p w:rsidR="00AB1A4A" w:rsidRDefault="00F120F7">
      <w:pPr>
        <w:widowControl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不</w:t>
      </w:r>
      <w:r>
        <w:rPr>
          <w:rFonts w:ascii="Times New Roman" w:eastAsia="方正仿宋_GBK" w:hAnsi="Times New Roman" w:hint="eastAsia"/>
          <w:sz w:val="32"/>
          <w:szCs w:val="32"/>
        </w:rPr>
        <w:t>再</w:t>
      </w:r>
      <w:r>
        <w:rPr>
          <w:rFonts w:ascii="Times New Roman" w:eastAsia="方正仿宋_GBK" w:hAnsi="Times New Roman"/>
          <w:sz w:val="32"/>
          <w:szCs w:val="32"/>
        </w:rPr>
        <w:t>符合入库条件的。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第五章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培育服务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第九条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bCs/>
          <w:sz w:val="32"/>
          <w:szCs w:val="32"/>
        </w:rPr>
        <w:t>培育服务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（一）政策奖补。</w:t>
      </w:r>
      <w:r>
        <w:rPr>
          <w:rFonts w:ascii="Times New Roman" w:eastAsia="方正仿宋_GBK" w:hAnsi="Times New Roman"/>
          <w:sz w:val="32"/>
          <w:szCs w:val="32"/>
        </w:rPr>
        <w:t>入库企业可享受《信阳市人民政府办公室关于印发〈信阳市企业上市倍增三年行动计划（</w:t>
      </w:r>
      <w:r>
        <w:rPr>
          <w:rFonts w:ascii="Times New Roman" w:eastAsia="方正仿宋_GBK" w:hAnsi="Times New Roman"/>
          <w:sz w:val="32"/>
          <w:szCs w:val="32"/>
        </w:rPr>
        <w:t>2022—2024</w:t>
      </w:r>
      <w:r>
        <w:rPr>
          <w:rFonts w:ascii="Times New Roman" w:eastAsia="方正仿宋_GBK" w:hAnsi="Times New Roman"/>
          <w:sz w:val="32"/>
          <w:szCs w:val="32"/>
        </w:rPr>
        <w:t>年）〉〈信阳市资本市场发展专项奖补办法（试行）〉的通知》（信政办〔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54</w:t>
      </w:r>
      <w:r>
        <w:rPr>
          <w:rFonts w:ascii="Times New Roman" w:eastAsia="方正仿宋_GBK" w:hAnsi="Times New Roman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z w:val="32"/>
          <w:szCs w:val="32"/>
        </w:rPr>
        <w:t>中制定的</w:t>
      </w:r>
      <w:r>
        <w:rPr>
          <w:rFonts w:ascii="Times New Roman" w:eastAsia="方正仿宋_GBK" w:hAnsi="Times New Roman"/>
          <w:sz w:val="32"/>
          <w:szCs w:val="32"/>
        </w:rPr>
        <w:t>有关优惠政策和奖补措施。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（二）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培训指导。</w:t>
      </w:r>
      <w:r>
        <w:rPr>
          <w:rFonts w:ascii="Times New Roman" w:eastAsia="方正仿宋_GBK" w:hAnsi="Times New Roman"/>
          <w:sz w:val="32"/>
          <w:szCs w:val="32"/>
        </w:rPr>
        <w:t>邀请金融专家为入库企业不定期举办</w:t>
      </w:r>
      <w:r>
        <w:rPr>
          <w:rFonts w:ascii="Times New Roman" w:eastAsia="方正仿宋_GBK" w:hAnsi="Times New Roman" w:hint="eastAsia"/>
          <w:sz w:val="32"/>
          <w:szCs w:val="32"/>
        </w:rPr>
        <w:t>专项</w:t>
      </w:r>
      <w:r>
        <w:rPr>
          <w:rFonts w:ascii="Times New Roman" w:eastAsia="方正仿宋_GBK" w:hAnsi="Times New Roman"/>
          <w:sz w:val="32"/>
          <w:szCs w:val="32"/>
        </w:rPr>
        <w:t>资本市场培训；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适时组织企业到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上市公司</w:t>
      </w:r>
      <w:r>
        <w:rPr>
          <w:rFonts w:ascii="Times New Roman" w:eastAsia="方正仿宋_GBK" w:hAnsi="Times New Roman"/>
          <w:color w:val="000000"/>
          <w:sz w:val="32"/>
          <w:szCs w:val="32"/>
        </w:rPr>
        <w:t>学习考察，通过借鉴成功经验及模式，加快上市挂牌进度；</w:t>
      </w:r>
      <w:r>
        <w:rPr>
          <w:rFonts w:ascii="Times New Roman" w:eastAsia="方正仿宋_GBK" w:hAnsi="Times New Roman"/>
          <w:sz w:val="32"/>
          <w:szCs w:val="32"/>
        </w:rPr>
        <w:t>根据企业改制和上市挂牌的需求，采取宏观与微观相结合、普遍性与针对性相结合的方式，建立培训体系制定培训课程，原则上每年培训不少于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次。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lastRenderedPageBreak/>
        <w:t>（三）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融资增信服务。</w:t>
      </w:r>
      <w:r>
        <w:rPr>
          <w:rFonts w:ascii="Times New Roman" w:eastAsia="方正仿宋_GBK" w:hAnsi="Times New Roman"/>
          <w:sz w:val="32"/>
          <w:szCs w:val="32"/>
        </w:rPr>
        <w:t>定期向辖区内金融机构推荐入库企业，针对融资需求拟定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一对一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融资服务方案，引导和鼓励金融机构为入库企业提供低息融资。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（四）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绿色通道。</w:t>
      </w:r>
      <w:r>
        <w:rPr>
          <w:rFonts w:ascii="Times New Roman" w:eastAsia="方正仿宋_GBK" w:hAnsi="Times New Roman" w:hint="eastAsia"/>
          <w:sz w:val="32"/>
          <w:szCs w:val="32"/>
        </w:rPr>
        <w:t>按照《信阳市人民政府关于加快推动信阳资本市场高质量发展的实施意见》（</w:t>
      </w:r>
      <w:r>
        <w:rPr>
          <w:rFonts w:ascii="Times New Roman" w:eastAsia="方正仿宋_GBK" w:hAnsi="Times New Roman"/>
          <w:sz w:val="32"/>
          <w:szCs w:val="32"/>
        </w:rPr>
        <w:t>信政〔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及</w:t>
      </w:r>
      <w:r>
        <w:rPr>
          <w:rFonts w:ascii="Times New Roman" w:eastAsia="方正仿宋_GBK" w:hAnsi="Times New Roman"/>
          <w:sz w:val="32"/>
          <w:szCs w:val="32"/>
        </w:rPr>
        <w:t>《信阳市人民政府办公室关于印发〈信阳市企业上市倍增三年行动计划（</w:t>
      </w:r>
      <w:r>
        <w:rPr>
          <w:rFonts w:ascii="Times New Roman" w:eastAsia="方正仿宋_GBK" w:hAnsi="Times New Roman"/>
          <w:sz w:val="32"/>
          <w:szCs w:val="32"/>
        </w:rPr>
        <w:t>2022—2024</w:t>
      </w:r>
      <w:r>
        <w:rPr>
          <w:rFonts w:ascii="Times New Roman" w:eastAsia="方正仿宋_GBK" w:hAnsi="Times New Roman"/>
          <w:sz w:val="32"/>
          <w:szCs w:val="32"/>
        </w:rPr>
        <w:t>年）〉〈信阳市资本市场发展专项奖补办法（试行）〉的通知》（信政办〔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54</w:t>
      </w:r>
      <w:r>
        <w:rPr>
          <w:rFonts w:ascii="Times New Roman" w:eastAsia="方正仿宋_GBK" w:hAnsi="Times New Roman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z w:val="32"/>
          <w:szCs w:val="32"/>
        </w:rPr>
        <w:t>要求，对入库企业</w:t>
      </w:r>
      <w:r>
        <w:rPr>
          <w:rFonts w:ascii="Times New Roman" w:eastAsia="方正仿宋_GBK" w:hAnsi="Times New Roman"/>
          <w:sz w:val="32"/>
          <w:szCs w:val="32"/>
        </w:rPr>
        <w:t>针开辟推进上市</w:t>
      </w:r>
      <w:r>
        <w:rPr>
          <w:rFonts w:ascii="Times New Roman" w:eastAsia="方正仿宋_GBK" w:hAnsi="Times New Roman" w:hint="eastAsia"/>
          <w:sz w:val="32"/>
          <w:szCs w:val="32"/>
        </w:rPr>
        <w:t>、挂牌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绿色通道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，市本级、各县（区）、管理区（开发区）等相关职能部门在依法依规的前提下简化办事程序，提高审批效率，为重点上市企业办理相关手续及证明，针对上市进程中存在的困难及问题通过上市工作联席会议采取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一事一议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的方式予以研究解决。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第十条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市本级、各县（区）、管理区（开发区）人民政府在依法依规的前提下，优先引导支持入库企业发展。</w:t>
      </w:r>
    </w:p>
    <w:p w:rsidR="00AB1A4A" w:rsidRDefault="00F120F7" w:rsidP="008F53E3">
      <w:pPr>
        <w:spacing w:beforeLines="50" w:afterLines="50"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第六章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则</w:t>
      </w:r>
    </w:p>
    <w:p w:rsidR="00AB1A4A" w:rsidRDefault="00F120F7" w:rsidP="0023727C">
      <w:pPr>
        <w:widowControl/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第十一条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本办法由信阳市金融工作局负责解释。</w:t>
      </w:r>
    </w:p>
    <w:p w:rsidR="00AB1A4A" w:rsidRDefault="00F120F7" w:rsidP="0023727C">
      <w:pPr>
        <w:pStyle w:val="a4"/>
        <w:spacing w:before="0" w:beforeAutospacing="0" w:after="0" w:afterAutospacing="0" w:line="58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第十二条</w:t>
      </w:r>
      <w:r w:rsidR="0023727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本办法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自印发之日起</w:t>
      </w:r>
      <w:r>
        <w:rPr>
          <w:rFonts w:ascii="Times New Roman" w:eastAsia="方正仿宋_GBK" w:hAnsi="Times New Roman" w:cs="Times New Roman"/>
          <w:sz w:val="32"/>
          <w:szCs w:val="32"/>
        </w:rPr>
        <w:t>有效期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年。</w:t>
      </w:r>
    </w:p>
    <w:p w:rsidR="00AB1A4A" w:rsidRDefault="00AB1A4A">
      <w:pPr>
        <w:pStyle w:val="a3"/>
        <w:spacing w:line="580" w:lineRule="exact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B1A4A" w:rsidRDefault="00F120F7">
      <w:pPr>
        <w:pStyle w:val="a3"/>
        <w:spacing w:line="580" w:lineRule="exact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sz w:val="32"/>
          <w:szCs w:val="32"/>
        </w:rPr>
        <w:t>重点上市后备企业申报表</w:t>
      </w:r>
    </w:p>
    <w:p w:rsidR="00AB1A4A" w:rsidRDefault="00F120F7">
      <w:pPr>
        <w:ind w:firstLineChars="506" w:firstLine="1619"/>
      </w:pPr>
      <w:r>
        <w:rPr>
          <w:rFonts w:ascii="Times New Roman" w:eastAsia="方正仿宋_GBK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_GBK" w:hAnsi="Times New Roman" w:hint="eastAsia"/>
          <w:sz w:val="32"/>
          <w:szCs w:val="32"/>
        </w:rPr>
        <w:t>新三板挂牌后备企业信息表</w:t>
      </w:r>
    </w:p>
    <w:p w:rsidR="00AB1A4A" w:rsidRDefault="00F120F7">
      <w:pPr>
        <w:pStyle w:val="Tablecaption1"/>
        <w:tabs>
          <w:tab w:val="left" w:pos="4838"/>
        </w:tabs>
        <w:spacing w:line="580" w:lineRule="exact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 w:eastAsia="zh-CN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AB1A4A" w:rsidRDefault="00F120F7">
      <w:pPr>
        <w:pStyle w:val="Tablecaption1"/>
        <w:tabs>
          <w:tab w:val="left" w:pos="4838"/>
        </w:tabs>
        <w:spacing w:line="58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重点上市后备企业申报表</w:t>
      </w:r>
    </w:p>
    <w:p w:rsidR="00AB1A4A" w:rsidRDefault="00F120F7">
      <w:pPr>
        <w:pStyle w:val="Tablecaption1"/>
        <w:tabs>
          <w:tab w:val="left" w:pos="4838"/>
        </w:tabs>
        <w:spacing w:line="400" w:lineRule="exact"/>
        <w:jc w:val="both"/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方正仿宋_GBK" w:eastAsia="方正仿宋_GBK" w:hAnsi="方正仿宋_GBK" w:cs="方正仿宋_GBK"/>
          <w:color w:val="000000"/>
          <w:sz w:val="24"/>
          <w:szCs w:val="24"/>
        </w:rPr>
        <w:t xml:space="preserve">□新申报 </w:t>
      </w:r>
      <w:r>
        <w:rPr>
          <w:rFonts w:ascii="方正仿宋_GBK" w:eastAsia="方正仿宋_GBK" w:hAnsi="方正仿宋_GBK" w:cs="方正仿宋_GBK"/>
          <w:color w:val="000000"/>
          <w:sz w:val="24"/>
          <w:szCs w:val="24"/>
          <w:lang w:eastAsia="zh-CN"/>
        </w:rPr>
        <w:t>□</w:t>
      </w:r>
      <w:r>
        <w:rPr>
          <w:rFonts w:ascii="方正仿宋_GBK" w:eastAsia="方正仿宋_GBK" w:hAnsi="方正仿宋_GBK" w:cs="方正仿宋_GBK"/>
          <w:color w:val="000000"/>
          <w:sz w:val="24"/>
          <w:szCs w:val="24"/>
        </w:rPr>
        <w:t>已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>入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库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 w:hint="eastAsia"/>
          <w:color w:val="000000"/>
          <w:lang w:val="en-US" w:eastAsia="zh-CN"/>
        </w:rPr>
        <w:t xml:space="preserve">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>填报时间：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>年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zh-CN" w:eastAsia="zh-CN"/>
        </w:rPr>
        <w:t>月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zh-CN" w:eastAsia="zh-CN"/>
        </w:rPr>
        <w:t>日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7"/>
        <w:gridCol w:w="1138"/>
        <w:gridCol w:w="504"/>
        <w:gridCol w:w="1325"/>
        <w:gridCol w:w="310"/>
        <w:gridCol w:w="1512"/>
        <w:gridCol w:w="1761"/>
      </w:tblGrid>
      <w:tr w:rsidR="00AB1A4A">
        <w:trPr>
          <w:cantSplit/>
          <w:trHeight w:hRule="exact" w:val="518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4414" w:type="dxa"/>
            <w:gridSpan w:val="4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lang w:val="zh-TW" w:eastAsia="zh-TW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组织机构代码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513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4414" w:type="dxa"/>
            <w:gridSpan w:val="4"/>
            <w:vAlign w:val="center"/>
          </w:tcPr>
          <w:p w:rsidR="00AB1A4A" w:rsidRDefault="00AB1A4A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562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4414" w:type="dxa"/>
            <w:gridSpan w:val="4"/>
            <w:vAlign w:val="center"/>
          </w:tcPr>
          <w:p w:rsidR="00AB1A4A" w:rsidRDefault="00AB1A4A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设立股份公司时间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8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447" w:type="dxa"/>
            <w:vAlign w:val="center"/>
          </w:tcPr>
          <w:p w:rsidR="00AB1A4A" w:rsidRDefault="00AB1A4A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9" w:type="dxa"/>
            <w:gridSpan w:val="2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75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总经理</w:t>
            </w:r>
          </w:p>
        </w:tc>
        <w:tc>
          <w:tcPr>
            <w:tcW w:w="1447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9" w:type="dxa"/>
            <w:gridSpan w:val="2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75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上市联系人</w:t>
            </w:r>
          </w:p>
        </w:tc>
        <w:tc>
          <w:tcPr>
            <w:tcW w:w="1447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9" w:type="dxa"/>
            <w:gridSpan w:val="2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61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84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企业性质</w:t>
            </w:r>
          </w:p>
        </w:tc>
        <w:tc>
          <w:tcPr>
            <w:tcW w:w="1447" w:type="dxa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所属行业</w:t>
            </w:r>
          </w:p>
        </w:tc>
        <w:tc>
          <w:tcPr>
            <w:tcW w:w="5412" w:type="dxa"/>
            <w:gridSpan w:val="5"/>
            <w:vAlign w:val="center"/>
          </w:tcPr>
          <w:p w:rsidR="00AB1A4A" w:rsidRDefault="00AB1A4A">
            <w:pPr>
              <w:spacing w:line="32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510"/>
          <w:jc w:val="center"/>
        </w:trPr>
        <w:tc>
          <w:tcPr>
            <w:tcW w:w="1260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7997" w:type="dxa"/>
            <w:gridSpan w:val="7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540"/>
          <w:jc w:val="center"/>
        </w:trPr>
        <w:tc>
          <w:tcPr>
            <w:tcW w:w="1260" w:type="dxa"/>
            <w:vMerge w:val="restart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目前</w:t>
            </w:r>
          </w:p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股本</w:t>
            </w:r>
          </w:p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2585" w:type="dxa"/>
            <w:gridSpan w:val="2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股东名称</w:t>
            </w:r>
          </w:p>
        </w:tc>
        <w:tc>
          <w:tcPr>
            <w:tcW w:w="1829" w:type="dxa"/>
            <w:gridSpan w:val="2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持股数量（万股）</w:t>
            </w:r>
          </w:p>
        </w:tc>
        <w:tc>
          <w:tcPr>
            <w:tcW w:w="1822" w:type="dxa"/>
            <w:gridSpan w:val="2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持股比例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(%)</w:t>
            </w:r>
          </w:p>
        </w:tc>
        <w:tc>
          <w:tcPr>
            <w:tcW w:w="1761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所有制性质</w:t>
            </w:r>
          </w:p>
        </w:tc>
      </w:tr>
      <w:tr w:rsidR="00AB1A4A">
        <w:trPr>
          <w:cantSplit/>
          <w:trHeight w:hRule="exact" w:val="340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9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340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9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340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9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340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9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82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13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总股本</w:t>
            </w:r>
          </w:p>
        </w:tc>
        <w:tc>
          <w:tcPr>
            <w:tcW w:w="6550" w:type="dxa"/>
            <w:gridSpan w:val="6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法人股：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ab/>
              <w:t xml:space="preserve">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其中国有法人股：</w:t>
            </w:r>
          </w:p>
        </w:tc>
      </w:tr>
      <w:tr w:rsidR="00AB1A4A">
        <w:trPr>
          <w:cantSplit/>
          <w:trHeight w:hRule="exact" w:val="442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550" w:type="dxa"/>
            <w:gridSpan w:val="6"/>
            <w:vAlign w:val="center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自然人股：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ab/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其中职工股：</w:t>
            </w:r>
          </w:p>
        </w:tc>
      </w:tr>
      <w:tr w:rsidR="00AB1A4A">
        <w:trPr>
          <w:cantSplit/>
          <w:trHeight w:hRule="exact" w:val="634"/>
          <w:jc w:val="center"/>
        </w:trPr>
        <w:tc>
          <w:tcPr>
            <w:tcW w:w="1260" w:type="dxa"/>
            <w:vMerge w:val="restart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近三年</w:t>
            </w:r>
          </w:p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财务状况（万元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47" w:type="dxa"/>
            <w:vAlign w:val="bottom"/>
          </w:tcPr>
          <w:p w:rsidR="00AB1A4A" w:rsidRDefault="00AB1A4A">
            <w:pPr>
              <w:pStyle w:val="Other1"/>
              <w:spacing w:line="320" w:lineRule="exac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AB1A4A">
              <w:rPr>
                <w:rFonts w:ascii="Times New Roman" w:hAnsi="Times New Roman" w:cs="Times New Roman"/>
                <w:lang w:val="en-US" w:eastAsia="zh-CN"/>
              </w:rPr>
              <w:pict>
                <v:line id="直接连接符 1" o:spid="_x0000_s1027" style="position:absolute;left:0;text-align:left;z-index:251657728;mso-position-horizontal-relative:text;mso-position-vertical-relative:text" from="-5.4pt,.85pt" to="67.2pt,31.45pt" o:gfxdata="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"/>
              </w:pict>
            </w:r>
            <w:r w:rsidR="00F120F7">
              <w:rPr>
                <w:rFonts w:ascii="Times New Roman" w:eastAsia="方正仿宋_GBK" w:hAnsi="Times New Roman" w:cs="Times New Roman"/>
                <w:sz w:val="22"/>
                <w:szCs w:val="22"/>
                <w:lang w:eastAsia="zh-CN"/>
              </w:rPr>
              <w:t>时间</w:t>
            </w:r>
          </w:p>
          <w:p w:rsidR="00AB1A4A" w:rsidRDefault="00F120F7">
            <w:pPr>
              <w:pStyle w:val="Other1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  <w:lang w:eastAsia="zh-CN"/>
              </w:rPr>
              <w:t>财务指标</w:t>
            </w:r>
          </w:p>
        </w:tc>
        <w:tc>
          <w:tcPr>
            <w:tcW w:w="1642" w:type="dxa"/>
            <w:gridSpan w:val="2"/>
            <w:vAlign w:val="center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635" w:type="dxa"/>
            <w:gridSpan w:val="2"/>
            <w:vAlign w:val="center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512" w:type="dxa"/>
            <w:vAlign w:val="center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761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合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计</w:t>
            </w: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总资产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净资产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营业收入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</w:tcPr>
          <w:p w:rsidR="00AB1A4A" w:rsidRDefault="00F120F7">
            <w:pPr>
              <w:pStyle w:val="Other1"/>
              <w:tabs>
                <w:tab w:val="left" w:pos="2707"/>
              </w:tabs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净利润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纳税额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研发投入金额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cantSplit/>
          <w:trHeight w:hRule="exact" w:val="809"/>
          <w:jc w:val="center"/>
        </w:trPr>
        <w:tc>
          <w:tcPr>
            <w:tcW w:w="1260" w:type="dxa"/>
            <w:vMerge/>
            <w:vAlign w:val="center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研发投入占</w:t>
            </w:r>
          </w:p>
          <w:p w:rsidR="00AB1A4A" w:rsidRDefault="00F120F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营收比例（</w:t>
            </w: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%</w:t>
            </w: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）</w:t>
            </w:r>
          </w:p>
        </w:tc>
        <w:tc>
          <w:tcPr>
            <w:tcW w:w="1642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635" w:type="dxa"/>
            <w:gridSpan w:val="2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761" w:type="dxa"/>
          </w:tcPr>
          <w:p w:rsidR="00AB1A4A" w:rsidRDefault="00AB1A4A">
            <w:pPr>
              <w:spacing w:line="32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page" w:tblpX="1480" w:tblpY="3"/>
        <w:tblOverlap w:val="never"/>
        <w:tblW w:w="9255" w:type="dxa"/>
        <w:tblLayout w:type="fixed"/>
        <w:tblLook w:val="0000"/>
      </w:tblPr>
      <w:tblGrid>
        <w:gridCol w:w="1275"/>
        <w:gridCol w:w="1179"/>
        <w:gridCol w:w="1356"/>
        <w:gridCol w:w="264"/>
        <w:gridCol w:w="1188"/>
        <w:gridCol w:w="395"/>
        <w:gridCol w:w="1117"/>
        <w:gridCol w:w="83"/>
        <w:gridCol w:w="2398"/>
      </w:tblGrid>
      <w:tr w:rsidR="00AB1A4A">
        <w:trPr>
          <w:trHeight w:hRule="exact" w:val="6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获得荣誉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6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zh-CN" w:eastAsia="zh-CN"/>
              </w:rPr>
              <w:t>专利技术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6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lang w:val="zh-CN"/>
              </w:rPr>
              <w:t>资质认定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320" w:lineRule="exact"/>
              <w:ind w:firstLine="0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□国家高新技术企业   □河南省战略性新兴产业企业   □河南省新基建企业</w:t>
            </w:r>
          </w:p>
          <w:p w:rsidR="00AB1A4A" w:rsidRDefault="00F120F7">
            <w:pPr>
              <w:pStyle w:val="Other1"/>
              <w:spacing w:line="320" w:lineRule="exact"/>
              <w:ind w:firstLine="0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□河南省“专精特新”企业  □其他</w:t>
            </w:r>
          </w:p>
          <w:p w:rsidR="00AB1A4A" w:rsidRDefault="00AB1A4A">
            <w:pPr>
              <w:pStyle w:val="Other1"/>
              <w:tabs>
                <w:tab w:val="left" w:leader="underscore" w:pos="2981"/>
              </w:tabs>
              <w:spacing w:line="280" w:lineRule="exact"/>
              <w:ind w:firstLine="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</w:tr>
      <w:tr w:rsidR="00AB1A4A">
        <w:trPr>
          <w:trHeight w:hRule="exact" w:val="6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是否引入</w:t>
            </w:r>
          </w:p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战略投资者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left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□是  □否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最新一轮投资者及持股比例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A" w:rsidRDefault="00AB1A4A">
            <w:pPr>
              <w:spacing w:line="28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spacing w:line="28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最新一轮估值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14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zh-CN" w:eastAsia="zh-CN"/>
              </w:rPr>
              <w:t>公司简介</w:t>
            </w: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（包括主要高管、历史沿革等）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16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313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zh-CN" w:eastAsia="zh-CN"/>
              </w:rPr>
              <w:t>企业主要竞争优势和上市遇到困难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1A4A" w:rsidRDefault="00F120F7">
            <w:pPr>
              <w:pStyle w:val="Other1"/>
              <w:spacing w:line="302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上市挂牌第一意向板块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tabs>
                <w:tab w:val="left" w:leader="underscore" w:pos="7538"/>
              </w:tabs>
              <w:spacing w:line="240" w:lineRule="auto"/>
              <w:ind w:firstLine="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sym w:font="Wingdings 2" w:char="00A3"/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t>主板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□创业板 □科创板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t>□北交所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□新三板 □股交中心 □境外 </w:t>
            </w:r>
            <w:r>
              <w:rPr>
                <w:rFonts w:ascii="方正仿宋_GBK" w:eastAsia="方正仿宋_GBK" w:hAnsi="方正仿宋_GBK" w:cs="方正仿宋_GBK"/>
                <w:color w:val="000000"/>
                <w:u w:val="single"/>
              </w:rPr>
              <w:tab/>
            </w:r>
          </w:p>
        </w:tc>
      </w:tr>
      <w:tr w:rsidR="00AB1A4A">
        <w:trPr>
          <w:trHeight w:hRule="exact"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1A4A" w:rsidRDefault="00F120F7">
            <w:pPr>
              <w:pStyle w:val="Other1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上市挂牌第二意向板块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tabs>
                <w:tab w:val="left" w:leader="underscore" w:pos="7538"/>
              </w:tabs>
              <w:spacing w:line="240" w:lineRule="auto"/>
              <w:ind w:firstLine="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t>□主板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en-US"/>
              </w:rPr>
              <w:sym w:font="Wingdings 2" w:char="00A3"/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创业板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en-US"/>
              </w:rPr>
              <w:sym w:font="Wingdings 2" w:char="00A3"/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科创板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t>□北交所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□新三板 □股交中心 □境外 </w:t>
            </w:r>
            <w:r>
              <w:rPr>
                <w:rFonts w:ascii="方正仿宋_GBK" w:eastAsia="方正仿宋_GBK" w:hAnsi="方正仿宋_GBK" w:cs="方正仿宋_GBK"/>
                <w:color w:val="000000"/>
                <w:u w:val="single"/>
              </w:rPr>
              <w:tab/>
            </w:r>
          </w:p>
        </w:tc>
      </w:tr>
      <w:tr w:rsidR="00AB1A4A">
        <w:trPr>
          <w:trHeight w:hRule="exact"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31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上市挂牌</w:t>
            </w:r>
          </w:p>
          <w:p w:rsidR="00AB1A4A" w:rsidRDefault="00F120F7">
            <w:pPr>
              <w:pStyle w:val="Other1"/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所处阶段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tabs>
                <w:tab w:val="left" w:leader="underscore" w:pos="2974"/>
              </w:tabs>
              <w:spacing w:line="320" w:lineRule="exact"/>
              <w:ind w:firstLine="0"/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zh-CN" w:eastAsia="zh-CN"/>
              </w:rPr>
              <w:t>□未股改□股改中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□已完成股改□辅导备案中□已上报、未过会□已挂牌新三板 □已在股交中心挂牌  □其他</w:t>
            </w:r>
            <w:r>
              <w:rPr>
                <w:rFonts w:ascii="方正仿宋_GBK" w:eastAsia="方正仿宋_GBK" w:hAnsi="方正仿宋_GBK" w:cs="方正仿宋_GBK"/>
                <w:color w:val="000000"/>
                <w:u w:val="single"/>
              </w:rPr>
              <w:tab/>
            </w:r>
          </w:p>
        </w:tc>
      </w:tr>
      <w:tr w:rsidR="00AB1A4A">
        <w:trPr>
          <w:trHeight w:hRule="exact"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股改完成时间（预计）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A4A" w:rsidRDefault="00AB1A4A">
            <w:pPr>
              <w:spacing w:line="28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辅导备案时</w:t>
            </w: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间（预计）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AB1A4A">
            <w:pPr>
              <w:spacing w:line="28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上市申报时间</w:t>
            </w:r>
          </w:p>
          <w:p w:rsidR="00AB1A4A" w:rsidRDefault="00F120F7">
            <w:pPr>
              <w:pStyle w:val="Other1"/>
              <w:spacing w:line="280" w:lineRule="exact"/>
              <w:ind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en-US" w:eastAsia="zh-CN"/>
              </w:rPr>
              <w:t>（预计）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61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40" w:lineRule="auto"/>
              <w:ind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已签约机构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证券公司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1A4A" w:rsidRDefault="00AB1A4A">
            <w:pPr>
              <w:spacing w:line="28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4A" w:rsidRDefault="00F120F7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  <w:t>联系人</w:t>
            </w:r>
          </w:p>
          <w:p w:rsidR="00AB1A4A" w:rsidRDefault="00F120F7">
            <w:pPr>
              <w:spacing w:line="280" w:lineRule="exact"/>
              <w:jc w:val="center"/>
              <w:rPr>
                <w:rFonts w:ascii="Times New Roman" w:eastAsia="仿宋_GB2312" w:hAnsi="Times New Roman"/>
                <w:sz w:val="10"/>
                <w:szCs w:val="10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  <w:t>及联系方式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62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律师事务所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4A" w:rsidRDefault="00AB1A4A">
            <w:pPr>
              <w:spacing w:line="28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A4A" w:rsidRDefault="00F120F7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  <w:t>联系人</w:t>
            </w:r>
          </w:p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及联系方式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5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会计师事务所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4A" w:rsidRDefault="00AB1A4A">
            <w:pPr>
              <w:spacing w:line="28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A4A" w:rsidRDefault="00F120F7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  <w:lang w:val="zh-CN"/>
              </w:rPr>
              <w:t>联系人</w:t>
            </w:r>
          </w:p>
          <w:p w:rsidR="00AB1A4A" w:rsidRDefault="00F120F7">
            <w:pPr>
              <w:pStyle w:val="Other1"/>
              <w:spacing w:line="28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pacing w:val="-20"/>
                <w:sz w:val="24"/>
                <w:szCs w:val="24"/>
                <w:lang w:val="zh-CN" w:eastAsia="zh-CN"/>
              </w:rPr>
              <w:t>及联系方式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4A" w:rsidRDefault="00AB1A4A">
            <w:pPr>
              <w:rPr>
                <w:rFonts w:ascii="Times New Roman" w:eastAsia="仿宋_GB2312" w:hAnsi="Times New Roman"/>
                <w:sz w:val="10"/>
                <w:szCs w:val="10"/>
              </w:rPr>
            </w:pPr>
          </w:p>
        </w:tc>
      </w:tr>
      <w:tr w:rsidR="00AB1A4A">
        <w:trPr>
          <w:trHeight w:hRule="exact" w:val="14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lang w:val="zh-CN"/>
              </w:rPr>
              <w:t>承诺声明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a4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本公司申请加入信阳市重点上市后备企业资源库，保证上述资料真实、准确。</w:t>
            </w:r>
          </w:p>
          <w:p w:rsidR="00AB1A4A" w:rsidRDefault="00F120F7">
            <w:pPr>
              <w:pStyle w:val="a4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kern w:val="2"/>
                <w:lang w:val="zh-C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                                               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  <w:lang w:val="zh-CN"/>
              </w:rPr>
              <w:t>（盖章）</w:t>
            </w:r>
          </w:p>
          <w:p w:rsidR="00AB1A4A" w:rsidRDefault="00F120F7">
            <w:pPr>
              <w:pStyle w:val="a4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 xml:space="preserve">                                                                        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pacing w:val="-20"/>
                <w:kern w:val="2"/>
              </w:rPr>
              <w:t>日</w:t>
            </w:r>
          </w:p>
        </w:tc>
      </w:tr>
    </w:tbl>
    <w:p w:rsidR="00AB1A4A" w:rsidRDefault="00F120F7">
      <w:pPr>
        <w:pStyle w:val="Bodytext2"/>
        <w:spacing w:line="240" w:lineRule="exact"/>
        <w:ind w:left="0" w:firstLine="0"/>
        <w:jc w:val="left"/>
        <w:rPr>
          <w:rFonts w:ascii="Times New Roman" w:eastAsia="方正楷体_GBK" w:hAnsi="Times New Roman" w:cs="Times New Roman"/>
        </w:rPr>
      </w:pPr>
      <w:r>
        <w:rPr>
          <w:rFonts w:ascii="Times New Roman" w:eastAsia="方正楷体_GBK" w:hAnsi="Times New Roman" w:cs="Times New Roman"/>
          <w:color w:val="000000"/>
        </w:rPr>
        <w:t>填表说明：</w:t>
      </w:r>
    </w:p>
    <w:p w:rsidR="00AB1A4A" w:rsidRDefault="00F120F7">
      <w:pPr>
        <w:pStyle w:val="Bodytext2"/>
        <w:tabs>
          <w:tab w:val="left" w:pos="1037"/>
        </w:tabs>
        <w:spacing w:line="240" w:lineRule="exact"/>
        <w:ind w:left="700" w:firstLine="0"/>
        <w:jc w:val="left"/>
        <w:rPr>
          <w:rFonts w:ascii="Times New Roman" w:eastAsia="方正楷体_GBK" w:hAnsi="Times New Roman" w:cs="Times New Roman"/>
        </w:rPr>
      </w:pPr>
      <w:r>
        <w:rPr>
          <w:rFonts w:ascii="Times New Roman" w:eastAsia="方正楷体_GBK" w:hAnsi="Times New Roman" w:cs="Times New Roman"/>
          <w:color w:val="000000"/>
          <w:lang w:val="en-US" w:eastAsia="zh-CN"/>
        </w:rPr>
        <w:t>1.</w:t>
      </w:r>
      <w:r>
        <w:rPr>
          <w:rFonts w:ascii="Times New Roman" w:eastAsia="方正楷体_GBK" w:hAnsi="Times New Roman" w:cs="Times New Roman"/>
          <w:color w:val="000000"/>
        </w:rPr>
        <w:t>未入库企业申请入库</w:t>
      </w:r>
      <w:r>
        <w:rPr>
          <w:rFonts w:ascii="Times New Roman" w:eastAsia="方正楷体_GBK" w:hAnsi="Times New Roman" w:cs="Times New Roman"/>
          <w:color w:val="000000"/>
          <w:lang w:eastAsia="zh-CN"/>
        </w:rPr>
        <w:t>应</w:t>
      </w:r>
      <w:r>
        <w:rPr>
          <w:rFonts w:ascii="Times New Roman" w:eastAsia="方正楷体_GBK" w:hAnsi="Times New Roman" w:cs="Times New Roman"/>
          <w:color w:val="000000"/>
        </w:rPr>
        <w:t>选择</w:t>
      </w:r>
      <w:r>
        <w:rPr>
          <w:rFonts w:ascii="Times New Roman" w:eastAsia="方正楷体_GBK" w:hAnsi="Times New Roman" w:cs="Times New Roman"/>
          <w:color w:val="000000"/>
          <w:lang w:val="zh-CN" w:eastAsia="zh-CN"/>
        </w:rPr>
        <w:t>“</w:t>
      </w:r>
      <w:r>
        <w:rPr>
          <w:rFonts w:ascii="Times New Roman" w:eastAsia="方正楷体_GBK" w:hAnsi="Times New Roman" w:cs="Times New Roman"/>
          <w:color w:val="000000"/>
          <w:lang w:val="zh-CN" w:eastAsia="zh-CN"/>
        </w:rPr>
        <w:t>新申</w:t>
      </w:r>
      <w:r>
        <w:rPr>
          <w:rFonts w:ascii="Times New Roman" w:eastAsia="方正楷体_GBK" w:hAnsi="Times New Roman" w:cs="Times New Roman"/>
          <w:color w:val="000000"/>
        </w:rPr>
        <w:t>报</w:t>
      </w:r>
      <w:r>
        <w:rPr>
          <w:rFonts w:ascii="Times New Roman" w:eastAsia="方正楷体_GBK" w:hAnsi="Times New Roman" w:cs="Times New Roman"/>
          <w:color w:val="000000"/>
        </w:rPr>
        <w:t>”</w:t>
      </w:r>
      <w:r>
        <w:rPr>
          <w:rFonts w:ascii="Times New Roman" w:eastAsia="方正楷体_GBK" w:hAnsi="Times New Roman" w:cs="Times New Roman"/>
          <w:color w:val="000000"/>
        </w:rPr>
        <w:t>；</w:t>
      </w:r>
    </w:p>
    <w:p w:rsidR="00AB1A4A" w:rsidRDefault="00F120F7">
      <w:pPr>
        <w:pStyle w:val="Bodytext2"/>
        <w:tabs>
          <w:tab w:val="left" w:pos="1051"/>
        </w:tabs>
        <w:spacing w:line="240" w:lineRule="exact"/>
        <w:ind w:left="700" w:firstLine="0"/>
        <w:jc w:val="left"/>
        <w:rPr>
          <w:rFonts w:ascii="Times New Roman" w:hAnsi="Times New Roman" w:cs="Times New Roman"/>
          <w:b/>
          <w:color w:val="000000"/>
          <w:kern w:val="0"/>
          <w:szCs w:val="32"/>
        </w:rPr>
      </w:pPr>
      <w:r>
        <w:rPr>
          <w:rFonts w:ascii="Times New Roman" w:eastAsia="方正楷体_GBK" w:hAnsi="Times New Roman" w:cs="Times New Roman"/>
          <w:color w:val="000000"/>
          <w:lang w:val="en-US" w:eastAsia="zh-CN"/>
        </w:rPr>
        <w:t xml:space="preserve">2. </w:t>
      </w:r>
      <w:r>
        <w:rPr>
          <w:rFonts w:ascii="Times New Roman" w:eastAsia="方正楷体_GBK" w:hAnsi="Times New Roman" w:cs="Times New Roman"/>
          <w:color w:val="000000"/>
        </w:rPr>
        <w:t>企业性质填写：国有、集体、私营、中外合资、外商独资等；</w:t>
      </w:r>
    </w:p>
    <w:p w:rsidR="00AB1A4A" w:rsidRDefault="00AB1A4A">
      <w:pPr>
        <w:adjustRightInd w:val="0"/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AB1A4A" w:rsidRDefault="00F120F7">
      <w:pPr>
        <w:adjustRightInd w:val="0"/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B1A4A" w:rsidRDefault="00F120F7">
      <w:pPr>
        <w:adjustRightInd w:val="0"/>
        <w:snapToGrid w:val="0"/>
        <w:spacing w:line="24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新三板挂牌后备企业信息表</w:t>
      </w:r>
    </w:p>
    <w:p w:rsidR="00AB1A4A" w:rsidRDefault="00AB1A4A">
      <w:pPr>
        <w:adjustRightInd w:val="0"/>
        <w:snapToGrid w:val="0"/>
        <w:spacing w:line="240" w:lineRule="atLeast"/>
        <w:ind w:firstLineChars="2650" w:firstLine="6360"/>
        <w:rPr>
          <w:rFonts w:ascii="Times New Roman" w:eastAsia="仿宋_GB2312" w:hAnsi="Times New Roman"/>
          <w:sz w:val="24"/>
          <w:szCs w:val="21"/>
        </w:rPr>
      </w:pPr>
    </w:p>
    <w:p w:rsidR="00AB1A4A" w:rsidRDefault="00F120F7">
      <w:pPr>
        <w:adjustRightInd w:val="0"/>
        <w:snapToGrid w:val="0"/>
        <w:spacing w:line="240" w:lineRule="atLeast"/>
        <w:ind w:firstLineChars="2400" w:firstLine="5760"/>
        <w:jc w:val="right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填报日期：   年   月   日</w:t>
      </w:r>
    </w:p>
    <w:tbl>
      <w:tblPr>
        <w:tblW w:w="9510" w:type="dxa"/>
        <w:jc w:val="center"/>
        <w:tblLayout w:type="fixed"/>
        <w:tblLook w:val="0000"/>
      </w:tblPr>
      <w:tblGrid>
        <w:gridCol w:w="1436"/>
        <w:gridCol w:w="13"/>
        <w:gridCol w:w="1715"/>
        <w:gridCol w:w="2126"/>
        <w:gridCol w:w="595"/>
        <w:gridCol w:w="1503"/>
        <w:gridCol w:w="28"/>
        <w:gridCol w:w="2094"/>
      </w:tblGrid>
      <w:tr w:rsidR="00AB1A4A">
        <w:trPr>
          <w:cantSplit/>
          <w:trHeight w:val="596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基本信息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企业名称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成立时间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533"/>
          <w:jc w:val="center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注册地址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注册资本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457"/>
          <w:jc w:val="center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企业性质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法人代表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625"/>
          <w:jc w:val="center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所属行业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827"/>
          <w:jc w:val="center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所属行业的产业政策归类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鼓励类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 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限制类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□    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淘汰类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□</w:t>
            </w:r>
          </w:p>
        </w:tc>
      </w:tr>
      <w:tr w:rsidR="00AB1A4A">
        <w:trPr>
          <w:trHeight w:val="275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主营业务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pStyle w:val="msolistparagraph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方正仿宋_GBK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方正仿宋_GBK" w:hAnsi="Times New Roman" w:cs="Times New Roman"/>
                <w:bCs/>
                <w:kern w:val="2"/>
                <w:szCs w:val="22"/>
              </w:rPr>
              <w:t xml:space="preserve">  </w:t>
            </w:r>
          </w:p>
        </w:tc>
      </w:tr>
      <w:tr w:rsidR="00AB1A4A">
        <w:trPr>
          <w:trHeight w:val="239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公司的领先优势和竞争优势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AB1A4A" w:rsidRDefault="00AB1A4A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trHeight w:val="2401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公司高管及职工队伍</w:t>
            </w:r>
          </w:p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情况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</w:p>
          <w:p w:rsidR="00AB1A4A" w:rsidRDefault="00AB1A4A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trHeight w:val="225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股权结构</w:t>
            </w:r>
          </w:p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情况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AB1A4A" w:rsidRDefault="00AB1A4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trHeight w:val="183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企业改制、挂牌规划及时间表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663"/>
          <w:jc w:val="center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财务状况</w:t>
            </w:r>
          </w:p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（万元）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近三年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近三年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近三年</w:t>
            </w:r>
          </w:p>
        </w:tc>
      </w:tr>
      <w:tr w:rsidR="00AB1A4A">
        <w:trPr>
          <w:cantSplit/>
          <w:trHeight w:val="584"/>
          <w:jc w:val="center"/>
        </w:trPr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总资产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563"/>
          <w:jc w:val="center"/>
        </w:trPr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净资产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557"/>
          <w:jc w:val="center"/>
        </w:trPr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营业收入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551"/>
          <w:jc w:val="center"/>
        </w:trPr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净利润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rPr>
          <w:cantSplit/>
          <w:trHeight w:val="559"/>
          <w:jc w:val="center"/>
        </w:trPr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纳税额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联络信息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联系方式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邮箱</w:t>
            </w:r>
          </w:p>
        </w:tc>
      </w:tr>
      <w:tr w:rsidR="00A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  <w:jc w:val="center"/>
        </w:trPr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  <w:jc w:val="center"/>
        </w:trPr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申请承诺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ind w:left="1308" w:hangingChars="600" w:hanging="1308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11"/>
                <w:kern w:val="0"/>
                <w:sz w:val="24"/>
              </w:rPr>
              <w:t>本公司申请加入信阳市新三板挂牌后备企业资源库，保证上述资料真实、准确。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                </w:t>
            </w:r>
          </w:p>
          <w:p w:rsidR="00AB1A4A" w:rsidRDefault="00F120F7">
            <w:pPr>
              <w:widowControl/>
              <w:ind w:firstLineChars="1900" w:firstLine="45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</w:t>
            </w:r>
          </w:p>
        </w:tc>
      </w:tr>
      <w:tr w:rsidR="00A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推荐部门</w:t>
            </w:r>
          </w:p>
          <w:p w:rsidR="00AB1A4A" w:rsidRDefault="00F120F7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4A" w:rsidRDefault="00AB1A4A">
            <w:pPr>
              <w:widowControl/>
              <w:ind w:firstLineChars="1900" w:firstLine="45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AB1A4A" w:rsidRDefault="00F120F7">
            <w:pPr>
              <w:widowControl/>
              <w:ind w:firstLineChars="1900" w:firstLine="45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</w:t>
            </w:r>
          </w:p>
        </w:tc>
      </w:tr>
    </w:tbl>
    <w:p w:rsidR="00F120F7" w:rsidRPr="008F53E3" w:rsidRDefault="00F120F7">
      <w:pPr>
        <w:pStyle w:val="BodyTextFirstIndent21"/>
        <w:ind w:leftChars="0" w:left="0" w:firstLine="0"/>
        <w:rPr>
          <w:rFonts w:ascii="Times New Roman" w:eastAsia="方正仿宋_GBK" w:hAnsi="Times New Roman"/>
          <w:szCs w:val="21"/>
        </w:rPr>
      </w:pPr>
    </w:p>
    <w:sectPr w:rsidR="00F120F7" w:rsidRPr="008F53E3" w:rsidSect="00AB1A4A">
      <w:pgSz w:w="11906" w:h="16838"/>
      <w:pgMar w:top="2098" w:right="1474" w:bottom="181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09" w:rsidRDefault="001B7709" w:rsidP="0023727C">
      <w:r>
        <w:separator/>
      </w:r>
    </w:p>
  </w:endnote>
  <w:endnote w:type="continuationSeparator" w:id="1">
    <w:p w:rsidR="001B7709" w:rsidRDefault="001B7709" w:rsidP="0023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09" w:rsidRDefault="001B7709" w:rsidP="0023727C">
      <w:r>
        <w:separator/>
      </w:r>
    </w:p>
  </w:footnote>
  <w:footnote w:type="continuationSeparator" w:id="1">
    <w:p w:rsidR="001B7709" w:rsidRDefault="001B7709" w:rsidP="0023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904F"/>
    <w:multiLevelType w:val="singleLevel"/>
    <w:tmpl w:val="5BFE904F"/>
    <w:lvl w:ilvl="0">
      <w:start w:val="1"/>
      <w:numFmt w:val="chineseCounting"/>
      <w:suff w:val="nothing"/>
      <w:lvlText w:val="（%1）"/>
      <w:lvlJc w:val="left"/>
      <w:pPr>
        <w:ind w:left="-1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473E89"/>
    <w:rsid w:val="001B7709"/>
    <w:rsid w:val="0023727C"/>
    <w:rsid w:val="006D5F89"/>
    <w:rsid w:val="008F53E3"/>
    <w:rsid w:val="00AB1A4A"/>
    <w:rsid w:val="00F120F7"/>
    <w:rsid w:val="4D47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AB1A4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AB1A4A"/>
    <w:pPr>
      <w:ind w:firstLine="420"/>
    </w:pPr>
  </w:style>
  <w:style w:type="paragraph" w:customStyle="1" w:styleId="BodyTextIndent1">
    <w:name w:val="Body Text Indent1"/>
    <w:basedOn w:val="a"/>
    <w:qFormat/>
    <w:rsid w:val="00AB1A4A"/>
    <w:pPr>
      <w:spacing w:after="120"/>
      <w:ind w:leftChars="200" w:left="420"/>
    </w:pPr>
  </w:style>
  <w:style w:type="paragraph" w:styleId="a3">
    <w:name w:val="table of authorities"/>
    <w:basedOn w:val="a"/>
    <w:next w:val="a"/>
    <w:uiPriority w:val="99"/>
    <w:qFormat/>
    <w:rsid w:val="00AB1A4A"/>
    <w:pPr>
      <w:spacing w:line="360" w:lineRule="auto"/>
      <w:ind w:left="420"/>
      <w:jc w:val="left"/>
    </w:pPr>
  </w:style>
  <w:style w:type="paragraph" w:styleId="a4">
    <w:name w:val="Normal (Web)"/>
    <w:basedOn w:val="a"/>
    <w:qFormat/>
    <w:rsid w:val="00AB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caption1">
    <w:name w:val="Table caption|1"/>
    <w:uiPriority w:val="99"/>
    <w:qFormat/>
    <w:rsid w:val="00AB1A4A"/>
    <w:pPr>
      <w:widowControl w:val="0"/>
      <w:jc w:val="center"/>
    </w:pPr>
    <w:rPr>
      <w:rFonts w:ascii="宋体" w:hAnsi="宋体" w:cs="宋体"/>
      <w:kern w:val="2"/>
      <w:sz w:val="22"/>
      <w:szCs w:val="22"/>
      <w:lang w:val="zh-TW" w:eastAsia="zh-TW"/>
    </w:rPr>
  </w:style>
  <w:style w:type="paragraph" w:customStyle="1" w:styleId="Other1">
    <w:name w:val="Other|1"/>
    <w:uiPriority w:val="99"/>
    <w:qFormat/>
    <w:rsid w:val="00AB1A4A"/>
    <w:pPr>
      <w:widowControl w:val="0"/>
      <w:spacing w:line="458" w:lineRule="auto"/>
      <w:ind w:firstLine="400"/>
      <w:jc w:val="both"/>
    </w:pPr>
    <w:rPr>
      <w:rFonts w:ascii="宋体" w:hAnsi="宋体" w:cs="宋体"/>
      <w:kern w:val="2"/>
      <w:sz w:val="28"/>
      <w:szCs w:val="28"/>
      <w:lang w:val="zh-TW" w:eastAsia="zh-TW"/>
    </w:rPr>
  </w:style>
  <w:style w:type="paragraph" w:customStyle="1" w:styleId="Bodytext2">
    <w:name w:val="Body text|2"/>
    <w:uiPriority w:val="99"/>
    <w:qFormat/>
    <w:rsid w:val="00AB1A4A"/>
    <w:pPr>
      <w:widowControl w:val="0"/>
      <w:spacing w:line="324" w:lineRule="exact"/>
      <w:ind w:left="350" w:firstLine="160"/>
      <w:jc w:val="both"/>
    </w:pPr>
    <w:rPr>
      <w:rFonts w:ascii="宋体" w:hAnsi="宋体" w:cs="宋体"/>
      <w:kern w:val="2"/>
      <w:sz w:val="22"/>
      <w:szCs w:val="22"/>
      <w:lang w:val="zh-TW" w:eastAsia="zh-TW"/>
    </w:rPr>
  </w:style>
  <w:style w:type="paragraph" w:customStyle="1" w:styleId="msolistparagraph0">
    <w:name w:val="msolistparagraph"/>
    <w:basedOn w:val="a"/>
    <w:qFormat/>
    <w:rsid w:val="00AB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23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727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37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72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630</Words>
  <Characters>3596</Characters>
  <Application>Microsoft Office Word</Application>
  <DocSecurity>0</DocSecurity>
  <Lines>29</Lines>
  <Paragraphs>8</Paragraphs>
  <ScaleCrop>false</ScaleCrop>
  <Company>MS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USER-</cp:lastModifiedBy>
  <cp:revision>3</cp:revision>
  <dcterms:created xsi:type="dcterms:W3CDTF">2023-07-18T03:47:00Z</dcterms:created>
  <dcterms:modified xsi:type="dcterms:W3CDTF">2023-07-18T03:50:00Z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